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579F" w14:textId="25D70C79" w:rsidR="00902597" w:rsidRDefault="00902597" w:rsidP="00902597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253F0" wp14:editId="338A62D9">
            <wp:simplePos x="0" y="0"/>
            <wp:positionH relativeFrom="column">
              <wp:posOffset>4709160</wp:posOffset>
            </wp:positionH>
            <wp:positionV relativeFrom="paragraph">
              <wp:posOffset>-800100</wp:posOffset>
            </wp:positionV>
            <wp:extent cx="1790700" cy="12803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M Awards in purple with tag 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8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D47E" w14:textId="0540E67D" w:rsidR="0022526F" w:rsidRPr="00902597" w:rsidRDefault="0022526F" w:rsidP="00902597">
      <w:pPr>
        <w:jc w:val="center"/>
        <w:rPr>
          <w:b/>
          <w:sz w:val="28"/>
        </w:rPr>
      </w:pPr>
      <w:r w:rsidRPr="00902597">
        <w:rPr>
          <w:b/>
          <w:sz w:val="28"/>
        </w:rPr>
        <w:t>Product Description for Marketing</w:t>
      </w:r>
    </w:p>
    <w:p w14:paraId="323EA4BE" w14:textId="5669D08A" w:rsidR="00902597" w:rsidRDefault="00F1436E" w:rsidP="004D7925">
      <w:pPr>
        <w:jc w:val="center"/>
        <w:rPr>
          <w:b/>
          <w:sz w:val="32"/>
        </w:rPr>
      </w:pPr>
      <w:r>
        <w:rPr>
          <w:b/>
          <w:sz w:val="32"/>
        </w:rPr>
        <w:t>Counselling</w:t>
      </w:r>
    </w:p>
    <w:p w14:paraId="578F6820" w14:textId="77777777" w:rsidR="004D7925" w:rsidRDefault="004D7925" w:rsidP="004D7925">
      <w:pPr>
        <w:jc w:val="center"/>
        <w:rPr>
          <w:b/>
          <w:sz w:val="32"/>
        </w:rPr>
      </w:pPr>
    </w:p>
    <w:p w14:paraId="377262C7" w14:textId="0F5CD696" w:rsidR="004D7925" w:rsidRPr="004D7925" w:rsidRDefault="004D7925" w:rsidP="004D7925">
      <w:pPr>
        <w:jc w:val="center"/>
      </w:pPr>
      <w:r>
        <w:t>Info for the marketing material for the new Centres</w:t>
      </w:r>
    </w:p>
    <w:tbl>
      <w:tblPr>
        <w:tblStyle w:val="TableGrid"/>
        <w:tblW w:w="0" w:type="auto"/>
        <w:tblInd w:w="-744" w:type="dxa"/>
        <w:tblLook w:val="04A0" w:firstRow="1" w:lastRow="0" w:firstColumn="1" w:lastColumn="0" w:noHBand="0" w:noVBand="1"/>
      </w:tblPr>
      <w:tblGrid>
        <w:gridCol w:w="744"/>
        <w:gridCol w:w="2405"/>
        <w:gridCol w:w="6611"/>
      </w:tblGrid>
      <w:tr w:rsidR="00902597" w14:paraId="57F6A8EF" w14:textId="77777777" w:rsidTr="030497FA">
        <w:tc>
          <w:tcPr>
            <w:tcW w:w="744" w:type="dxa"/>
            <w:shd w:val="clear" w:color="auto" w:fill="7030A0"/>
          </w:tcPr>
          <w:p w14:paraId="40431B3F" w14:textId="7AAB96A3" w:rsidR="00902597" w:rsidRPr="00902597" w:rsidRDefault="00902597" w:rsidP="00902597">
            <w:pPr>
              <w:jc w:val="center"/>
              <w:rPr>
                <w:color w:val="FFFFFF" w:themeColor="background1"/>
              </w:rPr>
            </w:pPr>
            <w:r w:rsidRPr="00902597">
              <w:rPr>
                <w:color w:val="FFFFFF" w:themeColor="background1"/>
              </w:rPr>
              <w:t>1</w:t>
            </w:r>
          </w:p>
        </w:tc>
        <w:tc>
          <w:tcPr>
            <w:tcW w:w="2405" w:type="dxa"/>
            <w:shd w:val="clear" w:color="auto" w:fill="FFFFFF" w:themeFill="background1"/>
          </w:tcPr>
          <w:p w14:paraId="525845A5" w14:textId="46A04669" w:rsidR="0022526F" w:rsidRDefault="030497FA" w:rsidP="030497FA">
            <w:pPr>
              <w:jc w:val="center"/>
              <w:rPr>
                <w:b/>
                <w:bCs/>
                <w:color w:val="000000" w:themeColor="text1"/>
              </w:rPr>
            </w:pPr>
            <w:r w:rsidRPr="030497FA">
              <w:rPr>
                <w:b/>
                <w:bCs/>
                <w:color w:val="000000" w:themeColor="text1"/>
              </w:rPr>
              <w:t>Qualification name</w:t>
            </w:r>
          </w:p>
        </w:tc>
        <w:tc>
          <w:tcPr>
            <w:tcW w:w="6611" w:type="dxa"/>
          </w:tcPr>
          <w:p w14:paraId="1F749EA3" w14:textId="36328B48" w:rsidR="0022526F" w:rsidRDefault="00D55B90" w:rsidP="008A1D71">
            <w:r w:rsidRPr="00D55B90">
              <w:t xml:space="preserve">AIM Awards Level 5 Diploma in </w:t>
            </w:r>
            <w:r w:rsidRPr="00D55B90">
              <w:t>Psychotherapeutic</w:t>
            </w:r>
            <w:r w:rsidRPr="00D55B90">
              <w:t xml:space="preserve"> Counselling</w:t>
            </w:r>
          </w:p>
        </w:tc>
      </w:tr>
      <w:tr w:rsidR="00902597" w14:paraId="5A5651B8" w14:textId="77777777" w:rsidTr="030497FA">
        <w:tc>
          <w:tcPr>
            <w:tcW w:w="744" w:type="dxa"/>
            <w:shd w:val="clear" w:color="auto" w:fill="7030A0"/>
          </w:tcPr>
          <w:p w14:paraId="60066A04" w14:textId="0EA3B587" w:rsidR="00902597" w:rsidRPr="00902597" w:rsidRDefault="00902597" w:rsidP="00902597">
            <w:pPr>
              <w:jc w:val="center"/>
              <w:rPr>
                <w:color w:val="FFFFFF" w:themeColor="background1"/>
              </w:rPr>
            </w:pPr>
            <w:r w:rsidRPr="00902597">
              <w:rPr>
                <w:color w:val="FFFFFF" w:themeColor="background1"/>
              </w:rPr>
              <w:t>2</w:t>
            </w:r>
          </w:p>
        </w:tc>
        <w:tc>
          <w:tcPr>
            <w:tcW w:w="2405" w:type="dxa"/>
            <w:shd w:val="clear" w:color="auto" w:fill="FFFFFF" w:themeFill="background1"/>
          </w:tcPr>
          <w:p w14:paraId="2CBBAADF" w14:textId="56AB6AED" w:rsidR="0022526F" w:rsidRPr="00902597" w:rsidRDefault="030497FA" w:rsidP="030497FA">
            <w:pPr>
              <w:jc w:val="center"/>
              <w:rPr>
                <w:b/>
                <w:bCs/>
                <w:color w:val="000000" w:themeColor="text1"/>
              </w:rPr>
            </w:pPr>
            <w:r w:rsidRPr="030497FA">
              <w:rPr>
                <w:b/>
                <w:bCs/>
                <w:color w:val="000000" w:themeColor="text1"/>
              </w:rPr>
              <w:t>Internal release date</w:t>
            </w:r>
          </w:p>
        </w:tc>
        <w:tc>
          <w:tcPr>
            <w:tcW w:w="6611" w:type="dxa"/>
          </w:tcPr>
          <w:p w14:paraId="369702E1" w14:textId="60E45462" w:rsidR="0022526F" w:rsidRDefault="00BD4B05" w:rsidP="0022526F">
            <w:r>
              <w:t>19</w:t>
            </w:r>
            <w:r w:rsidRPr="00BD4B05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</w:tr>
      <w:tr w:rsidR="00647707" w14:paraId="4E56061E" w14:textId="77777777" w:rsidTr="030497FA">
        <w:tc>
          <w:tcPr>
            <w:tcW w:w="744" w:type="dxa"/>
            <w:shd w:val="clear" w:color="auto" w:fill="7030A0"/>
          </w:tcPr>
          <w:p w14:paraId="265AC448" w14:textId="5CB6A93C" w:rsidR="00647707" w:rsidRPr="00902597" w:rsidRDefault="00647707" w:rsidP="00647707">
            <w:pPr>
              <w:jc w:val="center"/>
              <w:rPr>
                <w:color w:val="FFFFFF" w:themeColor="background1"/>
              </w:rPr>
            </w:pPr>
            <w:r w:rsidRPr="00902597">
              <w:rPr>
                <w:color w:val="FFFFFF" w:themeColor="background1"/>
              </w:rPr>
              <w:t>3</w:t>
            </w:r>
          </w:p>
        </w:tc>
        <w:tc>
          <w:tcPr>
            <w:tcW w:w="2405" w:type="dxa"/>
            <w:shd w:val="clear" w:color="auto" w:fill="FFFFFF" w:themeFill="background1"/>
          </w:tcPr>
          <w:p w14:paraId="3C89F3D5" w14:textId="5539AC7A" w:rsidR="00647707" w:rsidRPr="00902597" w:rsidRDefault="004D7925" w:rsidP="004D792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Q</w:t>
            </w:r>
            <w:r w:rsidR="030497FA" w:rsidRPr="030497FA">
              <w:rPr>
                <w:b/>
                <w:bCs/>
                <w:color w:val="000000" w:themeColor="text1"/>
              </w:rPr>
              <w:t>ualification description</w:t>
            </w:r>
          </w:p>
        </w:tc>
        <w:tc>
          <w:tcPr>
            <w:tcW w:w="6611" w:type="dxa"/>
          </w:tcPr>
          <w:p w14:paraId="52C4F510" w14:textId="5380B6AB" w:rsidR="00494799" w:rsidRDefault="00D55B90" w:rsidP="00494799">
            <w:r w:rsidRPr="00D55B90">
              <w:t xml:space="preserve">The AIM Awards Level </w:t>
            </w:r>
            <w:r>
              <w:t xml:space="preserve">5 </w:t>
            </w:r>
            <w:r w:rsidRPr="00D55B90">
              <w:t>Diploma in Psychotherapeutic Counselling</w:t>
            </w:r>
            <w:r w:rsidRPr="00D55B90">
              <w:t xml:space="preserve"> </w:t>
            </w:r>
            <w:r w:rsidRPr="00D55B90">
              <w:t>provides opportunities for critical self-reflection and enables learners to work towards the production of a research proposal. The proposal will cover the field of counselling research and the methodological approaches to enquiry to assess and evaluate the practice of counselling and/or a topic relevant to the field.</w:t>
            </w:r>
            <w:r w:rsidRPr="00D55B90">
              <w:t xml:space="preserve"> </w:t>
            </w:r>
          </w:p>
          <w:p w14:paraId="78BD82D7" w14:textId="19515F21" w:rsidR="00D55B90" w:rsidRDefault="00D55B90" w:rsidP="00494799"/>
          <w:p w14:paraId="764A4E25" w14:textId="29DB0C70" w:rsidR="009B1988" w:rsidRDefault="00D55B90" w:rsidP="00494799">
            <w:r>
              <w:t xml:space="preserve">Learners will </w:t>
            </w:r>
            <w:r w:rsidR="00B319FD" w:rsidRPr="00B319FD">
              <w:t xml:space="preserve">embark on practice working within an ethical framework and will develop an understanding of </w:t>
            </w:r>
            <w:r w:rsidR="00A42C12">
              <w:t xml:space="preserve">the need </w:t>
            </w:r>
            <w:r w:rsidR="008F1A94">
              <w:t xml:space="preserve">for and value of </w:t>
            </w:r>
            <w:r w:rsidR="00A42C12" w:rsidRPr="00A42C12">
              <w:t xml:space="preserve">supervision in </w:t>
            </w:r>
            <w:r w:rsidR="008F1A94">
              <w:t>counselling p</w:t>
            </w:r>
            <w:r w:rsidR="00A42C12" w:rsidRPr="00A42C12">
              <w:t xml:space="preserve">ractice. </w:t>
            </w:r>
            <w:r w:rsidR="00BC4417">
              <w:t xml:space="preserve">Learners </w:t>
            </w:r>
            <w:r w:rsidR="00E42E3C">
              <w:t>are also required to</w:t>
            </w:r>
            <w:r w:rsidR="00BC4417">
              <w:t xml:space="preserve"> undertake research and </w:t>
            </w:r>
            <w:r w:rsidR="009B1988" w:rsidRPr="009B1988">
              <w:t>develop a business plan required to establish, develop and maintain a private counselling practice</w:t>
            </w:r>
            <w:r w:rsidR="00BC4417">
              <w:t>.</w:t>
            </w:r>
          </w:p>
          <w:p w14:paraId="26FE5DAB" w14:textId="075C29B7" w:rsidR="008F1A94" w:rsidRDefault="008F1A94" w:rsidP="00494799"/>
          <w:p w14:paraId="135C131D" w14:textId="55B51AD0" w:rsidR="00494799" w:rsidRDefault="00494799" w:rsidP="00BC4417"/>
        </w:tc>
      </w:tr>
      <w:tr w:rsidR="00647707" w14:paraId="3C32365D" w14:textId="77777777" w:rsidTr="030497FA">
        <w:tc>
          <w:tcPr>
            <w:tcW w:w="744" w:type="dxa"/>
            <w:shd w:val="clear" w:color="auto" w:fill="7030A0"/>
          </w:tcPr>
          <w:p w14:paraId="4D0AD050" w14:textId="668749E5" w:rsidR="00647707" w:rsidRPr="00902597" w:rsidRDefault="00647707" w:rsidP="00647707">
            <w:pPr>
              <w:jc w:val="center"/>
              <w:rPr>
                <w:color w:val="FFFFFF" w:themeColor="background1"/>
              </w:rPr>
            </w:pPr>
            <w:r w:rsidRPr="00902597">
              <w:rPr>
                <w:color w:val="FFFFFF" w:themeColor="background1"/>
              </w:rPr>
              <w:t>4</w:t>
            </w:r>
          </w:p>
        </w:tc>
        <w:tc>
          <w:tcPr>
            <w:tcW w:w="2405" w:type="dxa"/>
            <w:shd w:val="clear" w:color="auto" w:fill="FFFFFF" w:themeFill="background1"/>
          </w:tcPr>
          <w:p w14:paraId="55358AC8" w14:textId="7EE21221" w:rsidR="00647707" w:rsidRPr="00831F14" w:rsidRDefault="030497FA" w:rsidP="030497FA">
            <w:pPr>
              <w:jc w:val="center"/>
              <w:rPr>
                <w:b/>
                <w:bCs/>
                <w:color w:val="000000" w:themeColor="text1"/>
              </w:rPr>
            </w:pPr>
            <w:r w:rsidRPr="030497FA">
              <w:rPr>
                <w:b/>
                <w:bCs/>
                <w:color w:val="000000" w:themeColor="text1"/>
              </w:rPr>
              <w:t xml:space="preserve">Is </w:t>
            </w:r>
            <w:proofErr w:type="gramStart"/>
            <w:r w:rsidRPr="030497FA">
              <w:rPr>
                <w:b/>
                <w:bCs/>
                <w:color w:val="000000" w:themeColor="text1"/>
              </w:rPr>
              <w:t>it</w:t>
            </w:r>
            <w:proofErr w:type="gramEnd"/>
            <w:r w:rsidRPr="030497FA">
              <w:rPr>
                <w:b/>
                <w:bCs/>
                <w:color w:val="000000" w:themeColor="text1"/>
              </w:rPr>
              <w:t xml:space="preserve"> new qualification? If no, how does it differ from the old one?</w:t>
            </w:r>
          </w:p>
        </w:tc>
        <w:tc>
          <w:tcPr>
            <w:tcW w:w="6611" w:type="dxa"/>
          </w:tcPr>
          <w:p w14:paraId="021A0B5A" w14:textId="700C6804" w:rsidR="00647707" w:rsidRDefault="000C2345" w:rsidP="0089343B">
            <w:r>
              <w:t>Revised and updated current qualification.</w:t>
            </w:r>
            <w:r w:rsidR="0089343B">
              <w:t xml:space="preserve"> </w:t>
            </w:r>
          </w:p>
        </w:tc>
      </w:tr>
      <w:tr w:rsidR="00647707" w14:paraId="69571338" w14:textId="77777777" w:rsidTr="030497FA">
        <w:tc>
          <w:tcPr>
            <w:tcW w:w="744" w:type="dxa"/>
            <w:shd w:val="clear" w:color="auto" w:fill="7030A0"/>
          </w:tcPr>
          <w:p w14:paraId="4E28BC05" w14:textId="6F2AD3FE" w:rsidR="00647707" w:rsidRPr="00902597" w:rsidRDefault="00647707" w:rsidP="00647707">
            <w:pPr>
              <w:jc w:val="center"/>
              <w:rPr>
                <w:color w:val="FFFFFF" w:themeColor="background1"/>
              </w:rPr>
            </w:pPr>
            <w:r w:rsidRPr="00902597">
              <w:rPr>
                <w:color w:val="FFFFFF" w:themeColor="background1"/>
              </w:rPr>
              <w:t>5</w:t>
            </w:r>
          </w:p>
        </w:tc>
        <w:tc>
          <w:tcPr>
            <w:tcW w:w="2405" w:type="dxa"/>
            <w:shd w:val="clear" w:color="auto" w:fill="FFFFFF" w:themeFill="background1"/>
          </w:tcPr>
          <w:p w14:paraId="6D5C703E" w14:textId="37FCF6C1" w:rsidR="00647707" w:rsidRPr="00831F14" w:rsidRDefault="030497FA" w:rsidP="030497FA">
            <w:pPr>
              <w:jc w:val="center"/>
              <w:rPr>
                <w:b/>
                <w:bCs/>
                <w:color w:val="000000" w:themeColor="text1"/>
              </w:rPr>
            </w:pPr>
            <w:r w:rsidRPr="030497FA">
              <w:rPr>
                <w:b/>
                <w:bCs/>
                <w:color w:val="000000" w:themeColor="text1"/>
              </w:rPr>
              <w:t>Why this qualification is unique? (what is unique selling point)</w:t>
            </w:r>
          </w:p>
        </w:tc>
        <w:tc>
          <w:tcPr>
            <w:tcW w:w="6611" w:type="dxa"/>
          </w:tcPr>
          <w:p w14:paraId="7ACB0519" w14:textId="0D8FAD6A" w:rsidR="00276000" w:rsidRDefault="00276000" w:rsidP="00276000">
            <w:pPr>
              <w:rPr>
                <w:b/>
              </w:rPr>
            </w:pPr>
            <w:r w:rsidRPr="00276000">
              <w:rPr>
                <w:b/>
              </w:rPr>
              <w:t>The qualification is graded Pass, High Pass, Merit, High Merit and Distinction. (NEW)</w:t>
            </w:r>
          </w:p>
          <w:p w14:paraId="5BFC6A1D" w14:textId="7D7FB39F" w:rsidR="00401A62" w:rsidRDefault="00401A62" w:rsidP="00276000">
            <w:pPr>
              <w:rPr>
                <w:b/>
              </w:rPr>
            </w:pPr>
          </w:p>
          <w:p w14:paraId="6921CA34" w14:textId="7A4DD4D0" w:rsidR="00647707" w:rsidRDefault="00D246AD" w:rsidP="006D36A7">
            <w:r>
              <w:t>This qualification is p</w:t>
            </w:r>
            <w:r w:rsidR="006D36A7">
              <w:t xml:space="preserve">art of a suite available from Level 2 to Level 6 and are available for learners at different stages of their careers in counselling. </w:t>
            </w:r>
          </w:p>
          <w:p w14:paraId="5AB7DC5E" w14:textId="77777777" w:rsidR="00D80839" w:rsidRDefault="00D80839" w:rsidP="006D36A7"/>
          <w:p w14:paraId="6DCBCA96" w14:textId="31D530A4" w:rsidR="00AA0BEB" w:rsidRDefault="00AA0BEB" w:rsidP="006D36A7">
            <w:r>
              <w:t xml:space="preserve">We also provide </w:t>
            </w:r>
            <w:r w:rsidRPr="00AA0BEB">
              <w:t xml:space="preserve">assignment briefs </w:t>
            </w:r>
            <w:r>
              <w:t xml:space="preserve">for all </w:t>
            </w:r>
            <w:r w:rsidR="00B57980">
              <w:t>internally assessed</w:t>
            </w:r>
            <w:r>
              <w:t xml:space="preserve"> assessments in this qualification (centres don’t need to design own assessment tasks)</w:t>
            </w:r>
            <w:r w:rsidRPr="00AA0BEB">
              <w:t>. Where specified on the brief these may be contextualised by the centre, for example centres may choose to incorporate industry set scenarios.</w:t>
            </w:r>
          </w:p>
          <w:p w14:paraId="0E4ADEEE" w14:textId="46BA036A" w:rsidR="00D246AD" w:rsidRDefault="00D246AD" w:rsidP="00BB171B"/>
        </w:tc>
      </w:tr>
      <w:tr w:rsidR="00647707" w14:paraId="7F93B8A6" w14:textId="77777777" w:rsidTr="030497FA">
        <w:tc>
          <w:tcPr>
            <w:tcW w:w="744" w:type="dxa"/>
            <w:shd w:val="clear" w:color="auto" w:fill="7030A0"/>
          </w:tcPr>
          <w:p w14:paraId="2A8B3913" w14:textId="5913B680" w:rsidR="00647707" w:rsidRPr="00902597" w:rsidRDefault="00647707" w:rsidP="00647707">
            <w:pPr>
              <w:jc w:val="center"/>
              <w:rPr>
                <w:color w:val="FFFFFF" w:themeColor="background1"/>
              </w:rPr>
            </w:pPr>
            <w:r w:rsidRPr="00902597">
              <w:rPr>
                <w:color w:val="FFFFFF" w:themeColor="background1"/>
              </w:rPr>
              <w:t>6</w:t>
            </w:r>
          </w:p>
        </w:tc>
        <w:tc>
          <w:tcPr>
            <w:tcW w:w="2405" w:type="dxa"/>
            <w:shd w:val="clear" w:color="auto" w:fill="FFFFFF" w:themeFill="background1"/>
          </w:tcPr>
          <w:p w14:paraId="4C89457A" w14:textId="46DB5FB5" w:rsidR="00647707" w:rsidRDefault="030497FA" w:rsidP="030497FA">
            <w:pPr>
              <w:jc w:val="center"/>
              <w:rPr>
                <w:b/>
                <w:bCs/>
                <w:color w:val="000000" w:themeColor="text1"/>
              </w:rPr>
            </w:pPr>
            <w:r w:rsidRPr="030497FA">
              <w:rPr>
                <w:b/>
                <w:bCs/>
                <w:color w:val="000000" w:themeColor="text1"/>
              </w:rPr>
              <w:t>What skills can learners develop to be fit for the industry?</w:t>
            </w:r>
          </w:p>
        </w:tc>
        <w:tc>
          <w:tcPr>
            <w:tcW w:w="6611" w:type="dxa"/>
          </w:tcPr>
          <w:p w14:paraId="493B3602" w14:textId="684C8D38" w:rsidR="00647707" w:rsidRDefault="00953E72" w:rsidP="00647707">
            <w:r>
              <w:t>See point 3</w:t>
            </w:r>
          </w:p>
        </w:tc>
      </w:tr>
      <w:tr w:rsidR="00647707" w14:paraId="08C16A11" w14:textId="77777777" w:rsidTr="030497FA">
        <w:tc>
          <w:tcPr>
            <w:tcW w:w="744" w:type="dxa"/>
            <w:shd w:val="clear" w:color="auto" w:fill="7030A0"/>
          </w:tcPr>
          <w:p w14:paraId="0CCF52A2" w14:textId="644D36D2" w:rsidR="00647707" w:rsidRPr="00902597" w:rsidRDefault="00647707" w:rsidP="00647707">
            <w:pPr>
              <w:jc w:val="center"/>
              <w:rPr>
                <w:color w:val="FFFFFF" w:themeColor="background1"/>
              </w:rPr>
            </w:pPr>
            <w:r w:rsidRPr="00902597">
              <w:rPr>
                <w:color w:val="FFFFFF" w:themeColor="background1"/>
              </w:rPr>
              <w:t>7</w:t>
            </w:r>
          </w:p>
        </w:tc>
        <w:tc>
          <w:tcPr>
            <w:tcW w:w="2405" w:type="dxa"/>
            <w:shd w:val="clear" w:color="auto" w:fill="FFFFFF" w:themeFill="background1"/>
          </w:tcPr>
          <w:p w14:paraId="611FB4E9" w14:textId="5E530B31" w:rsidR="00647707" w:rsidRDefault="030497FA" w:rsidP="030497FA">
            <w:pPr>
              <w:jc w:val="center"/>
              <w:rPr>
                <w:b/>
                <w:bCs/>
                <w:color w:val="000000" w:themeColor="text1"/>
              </w:rPr>
            </w:pPr>
            <w:r w:rsidRPr="030497FA">
              <w:rPr>
                <w:b/>
                <w:bCs/>
                <w:color w:val="000000" w:themeColor="text1"/>
              </w:rPr>
              <w:t>Why is it beneficial for centres to choose this Aim Awards qualification?</w:t>
            </w:r>
          </w:p>
        </w:tc>
        <w:tc>
          <w:tcPr>
            <w:tcW w:w="6611" w:type="dxa"/>
          </w:tcPr>
          <w:p w14:paraId="186C2B2F" w14:textId="095495DF" w:rsidR="00647707" w:rsidRDefault="00953E72" w:rsidP="00647707">
            <w:r>
              <w:t>See point 5</w:t>
            </w:r>
          </w:p>
        </w:tc>
      </w:tr>
      <w:tr w:rsidR="00647707" w14:paraId="71098937" w14:textId="77777777" w:rsidTr="030497FA">
        <w:tc>
          <w:tcPr>
            <w:tcW w:w="744" w:type="dxa"/>
            <w:shd w:val="clear" w:color="auto" w:fill="7030A0"/>
          </w:tcPr>
          <w:p w14:paraId="433A4210" w14:textId="013D0CD4" w:rsidR="00647707" w:rsidRPr="00902597" w:rsidRDefault="00647707" w:rsidP="00647707">
            <w:pPr>
              <w:jc w:val="center"/>
              <w:rPr>
                <w:color w:val="FFFFFF" w:themeColor="background1"/>
              </w:rPr>
            </w:pPr>
            <w:r w:rsidRPr="00902597">
              <w:rPr>
                <w:color w:val="FFFFFF" w:themeColor="background1"/>
              </w:rPr>
              <w:lastRenderedPageBreak/>
              <w:t>8</w:t>
            </w:r>
          </w:p>
        </w:tc>
        <w:tc>
          <w:tcPr>
            <w:tcW w:w="2405" w:type="dxa"/>
            <w:shd w:val="clear" w:color="auto" w:fill="FFFFFF" w:themeFill="background1"/>
          </w:tcPr>
          <w:p w14:paraId="7F0EC64B" w14:textId="7933ECF7" w:rsidR="00647707" w:rsidRPr="00062809" w:rsidRDefault="030497FA" w:rsidP="030497FA">
            <w:pPr>
              <w:jc w:val="center"/>
              <w:rPr>
                <w:b/>
                <w:bCs/>
                <w:color w:val="000000" w:themeColor="text1"/>
              </w:rPr>
            </w:pPr>
            <w:r w:rsidRPr="030497FA">
              <w:rPr>
                <w:b/>
                <w:bCs/>
                <w:color w:val="000000" w:themeColor="text1"/>
              </w:rPr>
              <w:t>Who exactly is this qualification aimed at?</w:t>
            </w:r>
          </w:p>
        </w:tc>
        <w:tc>
          <w:tcPr>
            <w:tcW w:w="6611" w:type="dxa"/>
          </w:tcPr>
          <w:p w14:paraId="0761096C" w14:textId="1C712934" w:rsidR="00846D70" w:rsidRDefault="00846D70" w:rsidP="00846D70">
            <w:r>
              <w:t>This qualification is aimed at learners whose qualification goal is to achieve professional status in</w:t>
            </w:r>
            <w:r>
              <w:t xml:space="preserve"> </w:t>
            </w:r>
            <w:r>
              <w:t>counselling. It may also be appropriate for those working in roles where counselling skills are needed:</w:t>
            </w:r>
          </w:p>
          <w:p w14:paraId="4CB4B727" w14:textId="61B71D6E" w:rsidR="00D87EB3" w:rsidRDefault="00846D70" w:rsidP="00846D70">
            <w:r>
              <w:t>for example, nursing, teaching, social work, voluntary sector, the police and armed forces.</w:t>
            </w:r>
          </w:p>
          <w:p w14:paraId="48F0E34C" w14:textId="77777777" w:rsidR="00846D70" w:rsidRDefault="00846D70" w:rsidP="00846D70"/>
          <w:p w14:paraId="189921E0" w14:textId="46C51158" w:rsidR="004D3862" w:rsidRDefault="00D87EB3" w:rsidP="004D3862">
            <w:r w:rsidRPr="00D87EB3">
              <w:t xml:space="preserve">It is recommended that learners have achieved the AIM Awards Level </w:t>
            </w:r>
            <w:r w:rsidR="00A80717">
              <w:t>4</w:t>
            </w:r>
            <w:r w:rsidRPr="00D87EB3">
              <w:t xml:space="preserve"> </w:t>
            </w:r>
            <w:r w:rsidR="00A80717">
              <w:t>Diploma</w:t>
            </w:r>
            <w:r w:rsidRPr="00D87EB3">
              <w:t xml:space="preserve"> in Counselling </w:t>
            </w:r>
            <w:r w:rsidR="00A80717">
              <w:t xml:space="preserve">Practice </w:t>
            </w:r>
            <w:r w:rsidRPr="00D87EB3">
              <w:t>or equivalent</w:t>
            </w:r>
            <w:r>
              <w:t xml:space="preserve"> before commencing this qualification.</w:t>
            </w:r>
            <w:r w:rsidR="004D3862">
              <w:t xml:space="preserve"> </w:t>
            </w:r>
            <w:r w:rsidR="004D3862">
              <w:t>This will equip the learner with the prerequisite</w:t>
            </w:r>
          </w:p>
          <w:p w14:paraId="68813205" w14:textId="113741E6" w:rsidR="00D87EB3" w:rsidRDefault="004D3862" w:rsidP="004D3862">
            <w:r>
              <w:t>level of knowledge, skills and understanding necessary to embark on a course at this level</w:t>
            </w:r>
            <w:r>
              <w:t xml:space="preserve">. </w:t>
            </w:r>
          </w:p>
          <w:p w14:paraId="0FE7E1BC" w14:textId="4DCBA038" w:rsidR="00A80717" w:rsidRDefault="00A80717" w:rsidP="004D3862"/>
          <w:p w14:paraId="17CE63A8" w14:textId="657DD0C0" w:rsidR="00A80717" w:rsidRDefault="00A80717" w:rsidP="004D3862">
            <w:r w:rsidRPr="00A80717">
              <w:t>Learners will be expected to demonstrate a critical appreciation of theoretical concepts, legal and ethical issues in all their written work. At level 5, learners should be practitioners who</w:t>
            </w:r>
            <w:r>
              <w:t xml:space="preserve"> </w:t>
            </w:r>
            <w:r w:rsidRPr="00A80717">
              <w:t xml:space="preserve">have </w:t>
            </w:r>
            <w:proofErr w:type="gramStart"/>
            <w:r w:rsidRPr="00A80717">
              <w:t>sufficient</w:t>
            </w:r>
            <w:proofErr w:type="gramEnd"/>
            <w:r w:rsidRPr="00A80717">
              <w:t xml:space="preserve"> experience to evaluate how useful theoretical concepts are proving to be in their own client work.</w:t>
            </w:r>
          </w:p>
          <w:p w14:paraId="74DA2D52" w14:textId="0F017CF0" w:rsidR="00655FF7" w:rsidRDefault="00655FF7" w:rsidP="00B57980"/>
        </w:tc>
      </w:tr>
      <w:tr w:rsidR="00647707" w14:paraId="710C585E" w14:textId="77777777" w:rsidTr="030497FA">
        <w:tc>
          <w:tcPr>
            <w:tcW w:w="744" w:type="dxa"/>
            <w:shd w:val="clear" w:color="auto" w:fill="7030A0"/>
          </w:tcPr>
          <w:p w14:paraId="3E2AFA33" w14:textId="1E21E221" w:rsidR="00647707" w:rsidRPr="00902597" w:rsidRDefault="00647707" w:rsidP="00647707">
            <w:pPr>
              <w:jc w:val="center"/>
              <w:rPr>
                <w:color w:val="FFFFFF" w:themeColor="background1"/>
              </w:rPr>
            </w:pPr>
            <w:r w:rsidRPr="00902597">
              <w:rPr>
                <w:color w:val="FFFFFF" w:themeColor="background1"/>
              </w:rPr>
              <w:t>9</w:t>
            </w:r>
          </w:p>
        </w:tc>
        <w:tc>
          <w:tcPr>
            <w:tcW w:w="2405" w:type="dxa"/>
            <w:shd w:val="clear" w:color="auto" w:fill="FFFFFF" w:themeFill="background1"/>
          </w:tcPr>
          <w:p w14:paraId="7E17E7B6" w14:textId="7AEED0F9" w:rsidR="00647707" w:rsidRDefault="030497FA" w:rsidP="030497FA">
            <w:pPr>
              <w:jc w:val="center"/>
              <w:rPr>
                <w:b/>
                <w:bCs/>
                <w:color w:val="000000" w:themeColor="text1"/>
              </w:rPr>
            </w:pPr>
            <w:r w:rsidRPr="030497FA">
              <w:rPr>
                <w:b/>
                <w:bCs/>
                <w:color w:val="000000" w:themeColor="text1"/>
              </w:rPr>
              <w:t>Any additional information</w:t>
            </w:r>
          </w:p>
        </w:tc>
        <w:tc>
          <w:tcPr>
            <w:tcW w:w="6611" w:type="dxa"/>
          </w:tcPr>
          <w:p w14:paraId="7621281A" w14:textId="27921C63" w:rsidR="002C6E56" w:rsidRDefault="00153F9D" w:rsidP="00153F9D">
            <w:r>
              <w:t xml:space="preserve">Complete re-design of current L5 qualification as never had any learners registered so wasn’t </w:t>
            </w:r>
            <w:r w:rsidR="001E3F7D">
              <w:t xml:space="preserve">fit for purpose! </w:t>
            </w:r>
            <w:bookmarkStart w:id="0" w:name="_GoBack"/>
            <w:bookmarkEnd w:id="0"/>
          </w:p>
        </w:tc>
      </w:tr>
      <w:tr w:rsidR="00647707" w14:paraId="3B8560B5" w14:textId="77777777" w:rsidTr="030497FA">
        <w:tc>
          <w:tcPr>
            <w:tcW w:w="744" w:type="dxa"/>
            <w:shd w:val="clear" w:color="auto" w:fill="7030A0"/>
          </w:tcPr>
          <w:p w14:paraId="763B4328" w14:textId="5E56BD67" w:rsidR="00647707" w:rsidRPr="00902597" w:rsidRDefault="00647707" w:rsidP="00647707">
            <w:pPr>
              <w:jc w:val="center"/>
              <w:rPr>
                <w:color w:val="FFFFFF" w:themeColor="background1"/>
              </w:rPr>
            </w:pPr>
            <w:r w:rsidRPr="00902597">
              <w:rPr>
                <w:color w:val="FFFFFF" w:themeColor="background1"/>
              </w:rPr>
              <w:t>10</w:t>
            </w:r>
          </w:p>
        </w:tc>
        <w:tc>
          <w:tcPr>
            <w:tcW w:w="2405" w:type="dxa"/>
            <w:shd w:val="clear" w:color="auto" w:fill="FFFFFF" w:themeFill="background1"/>
          </w:tcPr>
          <w:p w14:paraId="497015ED" w14:textId="258A2070" w:rsidR="00647707" w:rsidRPr="004D7925" w:rsidRDefault="004D7925" w:rsidP="004D79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Any additional information</w:t>
            </w:r>
          </w:p>
        </w:tc>
        <w:tc>
          <w:tcPr>
            <w:tcW w:w="6611" w:type="dxa"/>
          </w:tcPr>
          <w:p w14:paraId="6C05F498" w14:textId="77777777" w:rsidR="00647707" w:rsidRDefault="00647707" w:rsidP="00647707"/>
        </w:tc>
      </w:tr>
      <w:tr w:rsidR="004D7925" w:rsidRPr="004D7925" w14:paraId="11395EB6" w14:textId="77777777" w:rsidTr="004D7925">
        <w:tc>
          <w:tcPr>
            <w:tcW w:w="9760" w:type="dxa"/>
            <w:gridSpan w:val="3"/>
            <w:shd w:val="clear" w:color="auto" w:fill="FFFFFF" w:themeFill="background1"/>
          </w:tcPr>
          <w:p w14:paraId="6CDA63F3" w14:textId="0D3368DB" w:rsidR="004D7925" w:rsidRPr="004D7925" w:rsidRDefault="004D7925" w:rsidP="004D79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If we have any photos purchased for this qualification, please attach them</w:t>
            </w:r>
          </w:p>
        </w:tc>
      </w:tr>
    </w:tbl>
    <w:p w14:paraId="29E30634" w14:textId="0571BE21" w:rsidR="0022526F" w:rsidRDefault="0022526F" w:rsidP="0022526F"/>
    <w:p w14:paraId="7797A52B" w14:textId="77777777" w:rsidR="0022526F" w:rsidRDefault="0022526F" w:rsidP="0022526F"/>
    <w:sectPr w:rsidR="00225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6F"/>
    <w:rsid w:val="00062809"/>
    <w:rsid w:val="000B7EF2"/>
    <w:rsid w:val="000C2345"/>
    <w:rsid w:val="00124968"/>
    <w:rsid w:val="00153F9D"/>
    <w:rsid w:val="001A43F6"/>
    <w:rsid w:val="001C38A9"/>
    <w:rsid w:val="001E3F7D"/>
    <w:rsid w:val="001F454E"/>
    <w:rsid w:val="0022526F"/>
    <w:rsid w:val="00276000"/>
    <w:rsid w:val="002C6E56"/>
    <w:rsid w:val="002C76BE"/>
    <w:rsid w:val="00401A62"/>
    <w:rsid w:val="00494799"/>
    <w:rsid w:val="004D3862"/>
    <w:rsid w:val="004D7925"/>
    <w:rsid w:val="00553B2D"/>
    <w:rsid w:val="005B49A3"/>
    <w:rsid w:val="00647707"/>
    <w:rsid w:val="00655FF7"/>
    <w:rsid w:val="006A1F2F"/>
    <w:rsid w:val="006D36A7"/>
    <w:rsid w:val="007507D0"/>
    <w:rsid w:val="00813BAB"/>
    <w:rsid w:val="00831F14"/>
    <w:rsid w:val="00846D70"/>
    <w:rsid w:val="0089343B"/>
    <w:rsid w:val="008A1D71"/>
    <w:rsid w:val="008F1A94"/>
    <w:rsid w:val="00902597"/>
    <w:rsid w:val="009447E7"/>
    <w:rsid w:val="00953E72"/>
    <w:rsid w:val="009B1988"/>
    <w:rsid w:val="00A42C12"/>
    <w:rsid w:val="00A55E32"/>
    <w:rsid w:val="00A80717"/>
    <w:rsid w:val="00AA0BEB"/>
    <w:rsid w:val="00AB4138"/>
    <w:rsid w:val="00AE693F"/>
    <w:rsid w:val="00B23EEF"/>
    <w:rsid w:val="00B319FD"/>
    <w:rsid w:val="00B57980"/>
    <w:rsid w:val="00BB171B"/>
    <w:rsid w:val="00BC4417"/>
    <w:rsid w:val="00BD4B05"/>
    <w:rsid w:val="00C20EFE"/>
    <w:rsid w:val="00CA2EDA"/>
    <w:rsid w:val="00D246AD"/>
    <w:rsid w:val="00D36C6A"/>
    <w:rsid w:val="00D409FD"/>
    <w:rsid w:val="00D55B90"/>
    <w:rsid w:val="00D80839"/>
    <w:rsid w:val="00D87EB3"/>
    <w:rsid w:val="00E42E3C"/>
    <w:rsid w:val="00E50ADA"/>
    <w:rsid w:val="00F1436E"/>
    <w:rsid w:val="00FD389D"/>
    <w:rsid w:val="03049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3440"/>
  <w15:chartTrackingRefBased/>
  <w15:docId w15:val="{D05DA325-933B-4827-B592-244300C2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21167C3A9CD4FB6439351036B0162" ma:contentTypeVersion="8" ma:contentTypeDescription="Create a new document." ma:contentTypeScope="" ma:versionID="ab739550d211860704499627c793b09a">
  <xsd:schema xmlns:xsd="http://www.w3.org/2001/XMLSchema" xmlns:xs="http://www.w3.org/2001/XMLSchema" xmlns:p="http://schemas.microsoft.com/office/2006/metadata/properties" xmlns:ns2="92497164-2dd6-4845-bc0d-7df08d5a8ead" xmlns:ns3="c85391c3-f5fe-47ac-bea1-42d41a82d79d" targetNamespace="http://schemas.microsoft.com/office/2006/metadata/properties" ma:root="true" ma:fieldsID="a4628389192476a91168cd806e6d5de1" ns2:_="" ns3:_="">
    <xsd:import namespace="92497164-2dd6-4845-bc0d-7df08d5a8ead"/>
    <xsd:import namespace="c85391c3-f5fe-47ac-bea1-42d41a82d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7164-2dd6-4845-bc0d-7df08d5a8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91c3-f5fe-47ac-bea1-42d41a82d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F31A8-7C02-4E17-89EF-A1F373F09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8E117-A233-4981-A5E6-7C14190A8613}">
  <ds:schemaRefs>
    <ds:schemaRef ds:uri="http://schemas.openxmlformats.org/package/2006/metadata/core-properties"/>
    <ds:schemaRef ds:uri="92497164-2dd6-4845-bc0d-7df08d5a8ead"/>
    <ds:schemaRef ds:uri="http://schemas.microsoft.com/office/2006/documentManagement/types"/>
    <ds:schemaRef ds:uri="c85391c3-f5fe-47ac-bea1-42d41a82d79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114E93-19E5-4482-A7F9-002D8E2F9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 Zigilejute</dc:creator>
  <cp:keywords/>
  <dc:description/>
  <cp:lastModifiedBy>Jessica Beverley</cp:lastModifiedBy>
  <cp:revision>15</cp:revision>
  <dcterms:created xsi:type="dcterms:W3CDTF">2018-11-27T10:36:00Z</dcterms:created>
  <dcterms:modified xsi:type="dcterms:W3CDTF">2018-11-27T10:47:00Z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0x01010080F21167C3A9CD4FB6439351036B0162</vt:lpwstr>
  </property>
</Properties>
</file>