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F026F1" w:rsidRDefault="00977492" w:rsidP="00331A66">
            <w:pPr>
              <w:pStyle w:val="UnitText"/>
              <w:rPr>
                <w:b/>
                <w:sz w:val="28"/>
                <w:szCs w:val="32"/>
              </w:rPr>
            </w:pPr>
            <w:r w:rsidRPr="00F026F1">
              <w:rPr>
                <w:rFonts w:ascii="Calibri" w:hAnsi="Calibri"/>
                <w:b/>
                <w:sz w:val="28"/>
                <w:szCs w:val="32"/>
              </w:rPr>
              <w:t xml:space="preserve">Teaching in a Specialist Area L4 CV15 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977492" w:rsidRPr="00F026F1" w:rsidRDefault="00977492" w:rsidP="00977492">
            <w:pPr>
              <w:pStyle w:val="BodyTextIndent"/>
              <w:ind w:left="2340" w:hanging="2340"/>
              <w:rPr>
                <w:rFonts w:ascii="Calibri" w:hAnsi="Calibri"/>
                <w:b/>
                <w:color w:val="4F2683"/>
                <w:sz w:val="28"/>
                <w:szCs w:val="32"/>
              </w:rPr>
            </w:pPr>
            <w:r w:rsidRPr="00F026F1">
              <w:rPr>
                <w:rFonts w:ascii="Calibri" w:hAnsi="Calibri"/>
                <w:b/>
                <w:color w:val="4F2683"/>
                <w:sz w:val="28"/>
                <w:szCs w:val="32"/>
              </w:rPr>
              <w:t>J/505/1096</w:t>
            </w:r>
          </w:p>
          <w:p w:rsidR="00B72F30" w:rsidRPr="00F026F1" w:rsidRDefault="00B72F30" w:rsidP="00233B0F">
            <w:pPr>
              <w:pStyle w:val="UnitText"/>
              <w:rPr>
                <w:b/>
                <w:sz w:val="28"/>
                <w:szCs w:val="32"/>
              </w:rPr>
            </w:pP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F026F1" w:rsidRDefault="00977492" w:rsidP="00331A66">
            <w:pPr>
              <w:pStyle w:val="UnitText"/>
              <w:rPr>
                <w:b/>
                <w:sz w:val="28"/>
                <w:szCs w:val="32"/>
              </w:rPr>
            </w:pPr>
            <w:r w:rsidRPr="00F026F1">
              <w:rPr>
                <w:rFonts w:ascii="Calibri" w:hAnsi="Calibri"/>
                <w:b/>
                <w:sz w:val="28"/>
                <w:szCs w:val="32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977492" w:rsidRPr="00454BA5" w:rsidTr="00977492">
        <w:trPr>
          <w:cantSplit/>
          <w:trHeight w:val="590"/>
          <w:jc w:val="center"/>
        </w:trPr>
        <w:tc>
          <w:tcPr>
            <w:tcW w:w="3697" w:type="dxa"/>
            <w:vMerge w:val="restart"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ascii="Calibri" w:hAnsi="Calibri" w:cs="Arial"/>
                <w:color w:val="4F2683"/>
                <w:sz w:val="24"/>
              </w:rPr>
              <w:t>Understand the aims and philosophy of education and training in own specialist area</w:t>
            </w:r>
          </w:p>
          <w:p w:rsidR="00977492" w:rsidRPr="00F026F1" w:rsidRDefault="00977492" w:rsidP="00AE75C4">
            <w:pPr>
              <w:ind w:left="360"/>
              <w:rPr>
                <w:rFonts w:ascii="Calibri" w:hAnsi="Calibri" w:cs="Arial"/>
                <w:b/>
                <w:color w:val="FF0000"/>
                <w:sz w:val="24"/>
              </w:rPr>
            </w:pPr>
          </w:p>
        </w:tc>
        <w:tc>
          <w:tcPr>
            <w:tcW w:w="4208" w:type="dxa"/>
            <w:vMerge w:val="restart"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ascii="Calibri" w:hAnsi="Calibri" w:cs="Arial"/>
                <w:color w:val="4F2683"/>
                <w:sz w:val="24"/>
              </w:rPr>
              <w:t>Explain key aims of education and training in own specialist area</w:t>
            </w:r>
          </w:p>
          <w:p w:rsidR="00977492" w:rsidRPr="00F026F1" w:rsidRDefault="00977492" w:rsidP="00AE75C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ascii="Calibri" w:hAnsi="Calibri" w:cs="Arial"/>
                <w:color w:val="4F2683"/>
                <w:sz w:val="24"/>
              </w:rPr>
              <w:t>Analyse philosophical issues relating to education and training in own specialist area</w:t>
            </w:r>
          </w:p>
          <w:p w:rsidR="00977492" w:rsidRPr="00F026F1" w:rsidRDefault="00977492" w:rsidP="0097749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B55981">
        <w:trPr>
          <w:cantSplit/>
          <w:trHeight w:val="802"/>
          <w:jc w:val="center"/>
        </w:trPr>
        <w:tc>
          <w:tcPr>
            <w:tcW w:w="3697" w:type="dxa"/>
            <w:vMerge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F026F1">
        <w:trPr>
          <w:cantSplit/>
          <w:trHeight w:val="941"/>
          <w:jc w:val="center"/>
        </w:trPr>
        <w:tc>
          <w:tcPr>
            <w:tcW w:w="3697" w:type="dxa"/>
            <w:vMerge w:val="restart"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ascii="Calibri" w:hAnsi="Calibri" w:cs="Arial"/>
                <w:color w:val="4F2683"/>
                <w:sz w:val="24"/>
              </w:rPr>
              <w:t>Understand the aims and structure of key qualifications and learning programmes available to learners in a specialist area</w:t>
            </w:r>
          </w:p>
        </w:tc>
        <w:tc>
          <w:tcPr>
            <w:tcW w:w="4208" w:type="dxa"/>
            <w:vMerge w:val="restart"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ascii="Calibri" w:hAnsi="Calibri" w:cs="Arial"/>
                <w:color w:val="4F2683"/>
                <w:sz w:val="24"/>
              </w:rPr>
              <w:t>Describe the aims and structure of key qualifications in own specialist area</w:t>
            </w:r>
          </w:p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ascii="Calibri" w:hAnsi="Calibri" w:cs="Arial"/>
                <w:color w:val="4F2683"/>
                <w:sz w:val="24"/>
              </w:rPr>
              <w:t>Describe the aims and structure of learning programmes in own specialist area</w:t>
            </w:r>
          </w:p>
          <w:p w:rsidR="00977492" w:rsidRPr="00F026F1" w:rsidRDefault="00977492" w:rsidP="00AE75C4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ascii="Calibri" w:hAnsi="Calibri" w:cs="Arial"/>
                <w:color w:val="4F2683"/>
                <w:sz w:val="24"/>
              </w:rPr>
              <w:t>Explain how own approach to planning and preparation for the delivery of a learning programme in own specialist area enables its aims to be met</w:t>
            </w:r>
          </w:p>
          <w:p w:rsidR="00977492" w:rsidRPr="00F026F1" w:rsidRDefault="00977492" w:rsidP="0097749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B55981">
        <w:trPr>
          <w:cantSplit/>
          <w:trHeight w:val="895"/>
          <w:jc w:val="center"/>
        </w:trPr>
        <w:tc>
          <w:tcPr>
            <w:tcW w:w="3697" w:type="dxa"/>
            <w:vMerge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B55981">
        <w:trPr>
          <w:cantSplit/>
          <w:trHeight w:val="895"/>
          <w:jc w:val="center"/>
        </w:trPr>
        <w:tc>
          <w:tcPr>
            <w:tcW w:w="3697" w:type="dxa"/>
            <w:vMerge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977492">
        <w:trPr>
          <w:cantSplit/>
          <w:trHeight w:val="1219"/>
          <w:jc w:val="center"/>
        </w:trPr>
        <w:tc>
          <w:tcPr>
            <w:tcW w:w="3697" w:type="dxa"/>
            <w:vMerge w:val="restart"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ascii="Calibri" w:hAnsi="Calibri" w:cs="Arial"/>
                <w:color w:val="4F2683"/>
                <w:sz w:val="24"/>
              </w:rPr>
              <w:t>Understand principles of inclusive teaching and learning and key curriculum issues in a specialist area</w:t>
            </w:r>
          </w:p>
        </w:tc>
        <w:tc>
          <w:tcPr>
            <w:tcW w:w="4208" w:type="dxa"/>
            <w:vMerge w:val="restart"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ascii="Calibri" w:hAnsi="Calibri" w:cs="Arial"/>
                <w:color w:val="4F2683"/>
                <w:sz w:val="24"/>
              </w:rPr>
              <w:t>Analyse the inclusiveness of own approach to the planning and preparation of a learning programme in own specialist area</w:t>
            </w:r>
          </w:p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ascii="Calibri" w:hAnsi="Calibri" w:cs="Arial"/>
                <w:color w:val="4F2683"/>
                <w:sz w:val="24"/>
              </w:rPr>
              <w:t>Explain how own approach to the planning and preparation of a learning programme in own specialist area takes account of key curriculum issues, including the role of new and emerging technologies</w:t>
            </w:r>
          </w:p>
          <w:p w:rsidR="00977492" w:rsidRDefault="00977492" w:rsidP="0097749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  <w:p w:rsidR="00F026F1" w:rsidRDefault="00F026F1" w:rsidP="0097749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  <w:p w:rsidR="00F026F1" w:rsidRDefault="00F026F1" w:rsidP="0097749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  <w:p w:rsidR="00F026F1" w:rsidRDefault="00F026F1" w:rsidP="0097749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  <w:p w:rsidR="00F026F1" w:rsidRDefault="00F026F1" w:rsidP="0097749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  <w:p w:rsidR="00F026F1" w:rsidRPr="00F026F1" w:rsidRDefault="00F026F1" w:rsidP="0097749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B55981">
        <w:trPr>
          <w:cantSplit/>
          <w:trHeight w:val="1477"/>
          <w:jc w:val="center"/>
        </w:trPr>
        <w:tc>
          <w:tcPr>
            <w:tcW w:w="3697" w:type="dxa"/>
            <w:vMerge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F026F1">
        <w:trPr>
          <w:cantSplit/>
          <w:trHeight w:val="1362"/>
          <w:jc w:val="center"/>
        </w:trPr>
        <w:tc>
          <w:tcPr>
            <w:tcW w:w="3697" w:type="dxa"/>
            <w:vMerge w:val="restart"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  <w:r w:rsidRPr="00F026F1">
              <w:rPr>
                <w:rFonts w:cs="Arial"/>
                <w:bCs/>
                <w:color w:val="4F2683"/>
                <w:sz w:val="24"/>
              </w:rPr>
              <w:lastRenderedPageBreak/>
              <w:t>Understand how to use resources for inclusive teaching and learning in a specialist area</w:t>
            </w:r>
          </w:p>
        </w:tc>
        <w:tc>
          <w:tcPr>
            <w:tcW w:w="4208" w:type="dxa"/>
            <w:vMerge w:val="restart"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  <w:r w:rsidRPr="00F026F1">
              <w:rPr>
                <w:rFonts w:cs="Arial"/>
                <w:bCs/>
                <w:color w:val="4F2683"/>
                <w:sz w:val="24"/>
              </w:rPr>
              <w:t>Analyse ways in which teaching and learning resources, including new and emerging technologies, meet the individual needs of learners in own specialist area</w:t>
            </w:r>
          </w:p>
          <w:p w:rsidR="00977492" w:rsidRPr="00F026F1" w:rsidRDefault="00977492" w:rsidP="00AE75C4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F026F1">
              <w:rPr>
                <w:rFonts w:cs="Arial"/>
                <w:bCs/>
                <w:color w:val="4F2683"/>
                <w:sz w:val="24"/>
              </w:rPr>
              <w:t>Analyse the inclusiveness of own use of teaching and learning resources in a specialist area</w:t>
            </w:r>
          </w:p>
          <w:p w:rsidR="00977492" w:rsidRPr="00F026F1" w:rsidRDefault="00977492" w:rsidP="00977492">
            <w:pPr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B55981">
        <w:trPr>
          <w:cantSplit/>
          <w:trHeight w:val="1207"/>
          <w:jc w:val="center"/>
        </w:trPr>
        <w:tc>
          <w:tcPr>
            <w:tcW w:w="3697" w:type="dxa"/>
            <w:vMerge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F026F1">
        <w:trPr>
          <w:cantSplit/>
          <w:trHeight w:val="692"/>
          <w:jc w:val="center"/>
        </w:trPr>
        <w:tc>
          <w:tcPr>
            <w:tcW w:w="3697" w:type="dxa"/>
            <w:vMerge w:val="restart"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  <w:r w:rsidRPr="00F026F1">
              <w:rPr>
                <w:rFonts w:cs="Arial"/>
                <w:bCs/>
                <w:color w:val="4F2683"/>
                <w:sz w:val="24"/>
              </w:rPr>
              <w:t>Be able to work with others within a specialist area to develop own practice</w:t>
            </w:r>
          </w:p>
        </w:tc>
        <w:tc>
          <w:tcPr>
            <w:tcW w:w="4208" w:type="dxa"/>
            <w:vMerge w:val="restart"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  <w:r w:rsidRPr="00F026F1">
              <w:rPr>
                <w:rFonts w:cs="Arial"/>
                <w:bCs/>
                <w:color w:val="4F2683"/>
                <w:sz w:val="24"/>
              </w:rPr>
              <w:t xml:space="preserve"> Liaise with others within a specialist area to develop own practice</w:t>
            </w:r>
          </w:p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  <w:r w:rsidRPr="00F026F1">
              <w:rPr>
                <w:rFonts w:cs="Arial"/>
                <w:bCs/>
                <w:color w:val="4F2683"/>
                <w:sz w:val="24"/>
              </w:rPr>
              <w:t>Review the impact of liaison with other teachers and trainers within own specialist area on own practice</w:t>
            </w:r>
          </w:p>
          <w:p w:rsidR="00977492" w:rsidRPr="00F026F1" w:rsidRDefault="00977492" w:rsidP="00977492">
            <w:pPr>
              <w:spacing w:after="0" w:line="240" w:lineRule="auto"/>
              <w:ind w:left="397"/>
              <w:rPr>
                <w:rFonts w:cs="Arial"/>
                <w:bCs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B55981">
        <w:trPr>
          <w:cantSplit/>
          <w:trHeight w:val="802"/>
          <w:jc w:val="center"/>
        </w:trPr>
        <w:tc>
          <w:tcPr>
            <w:tcW w:w="3697" w:type="dxa"/>
            <w:vMerge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F026F1">
        <w:trPr>
          <w:cantSplit/>
          <w:trHeight w:val="915"/>
          <w:jc w:val="center"/>
        </w:trPr>
        <w:tc>
          <w:tcPr>
            <w:tcW w:w="3697" w:type="dxa"/>
            <w:vMerge w:val="restart"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  <w:r w:rsidRPr="00F026F1">
              <w:rPr>
                <w:rFonts w:cs="Arial"/>
                <w:bCs/>
                <w:color w:val="4F2683"/>
                <w:sz w:val="24"/>
              </w:rPr>
              <w:t>Be able to evaluate, improve and update own knowledge and skills in a specialist area</w:t>
            </w:r>
          </w:p>
        </w:tc>
        <w:tc>
          <w:tcPr>
            <w:tcW w:w="4208" w:type="dxa"/>
            <w:vMerge w:val="restart"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  <w:r w:rsidRPr="00F026F1">
              <w:rPr>
                <w:rFonts w:cs="Arial"/>
                <w:bCs/>
                <w:color w:val="4F2683"/>
                <w:sz w:val="24"/>
              </w:rPr>
              <w:t>Review the effectiveness of own knowledge and skills in a specialist area</w:t>
            </w:r>
          </w:p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  <w:r w:rsidRPr="00F026F1">
              <w:rPr>
                <w:rFonts w:cs="Arial"/>
                <w:bCs/>
                <w:color w:val="4F2683"/>
                <w:sz w:val="24"/>
              </w:rPr>
              <w:t>Identify own strengths and areas for improvement in relation to practice in a specialist area</w:t>
            </w:r>
          </w:p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  <w:r w:rsidRPr="00F026F1">
              <w:rPr>
                <w:rFonts w:cs="Arial"/>
                <w:bCs/>
                <w:color w:val="4F2683"/>
                <w:sz w:val="24"/>
              </w:rPr>
              <w:t>Identify opportunities to improve and update own knowledge and skills in a specialist area</w:t>
            </w:r>
          </w:p>
          <w:p w:rsidR="00977492" w:rsidRPr="00F026F1" w:rsidRDefault="00977492" w:rsidP="00977492">
            <w:pPr>
              <w:spacing w:after="0" w:line="240" w:lineRule="auto"/>
              <w:ind w:left="397"/>
              <w:rPr>
                <w:rFonts w:cs="Arial"/>
                <w:bCs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B55981">
        <w:trPr>
          <w:cantSplit/>
          <w:trHeight w:val="805"/>
          <w:jc w:val="center"/>
        </w:trPr>
        <w:tc>
          <w:tcPr>
            <w:tcW w:w="3697" w:type="dxa"/>
            <w:vMerge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77492" w:rsidRPr="00454BA5" w:rsidTr="00B55981">
        <w:trPr>
          <w:cantSplit/>
          <w:trHeight w:val="805"/>
          <w:jc w:val="center"/>
        </w:trPr>
        <w:tc>
          <w:tcPr>
            <w:tcW w:w="3697" w:type="dxa"/>
            <w:vMerge/>
          </w:tcPr>
          <w:p w:rsidR="00977492" w:rsidRPr="00F026F1" w:rsidRDefault="00977492" w:rsidP="00977492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977492" w:rsidRPr="00F026F1" w:rsidRDefault="00977492" w:rsidP="00977492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cs="Arial"/>
                <w:bCs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977492" w:rsidRPr="00F026F1" w:rsidRDefault="00977492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22FA1" w:rsidRPr="00512C95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F026F1" w:rsidRDefault="00F026F1" w:rsidP="00F026F1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F026F1" w:rsidRDefault="00F026F1" w:rsidP="00F026F1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B72F30" w:rsidRPr="00454BA5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F026F1" w:rsidRDefault="00F026F1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F026F1" w:rsidRPr="00322FA1" w:rsidRDefault="00F026F1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  <w:bookmarkStart w:id="0" w:name="_GoBack"/>
      <w:bookmarkEnd w:id="0"/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lastRenderedPageBreak/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E92B8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F026F1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F026F1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77492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2B83"/>
    <w:rsid w:val="00E973F7"/>
    <w:rsid w:val="00EA3821"/>
    <w:rsid w:val="00EB23E9"/>
    <w:rsid w:val="00EC6FA7"/>
    <w:rsid w:val="00ED747B"/>
    <w:rsid w:val="00F026F1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4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7492"/>
  </w:style>
  <w:style w:type="paragraph" w:customStyle="1" w:styleId="LearningOutcome">
    <w:name w:val="Learning Outcome"/>
    <w:basedOn w:val="Normal"/>
    <w:rsid w:val="00977492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1CCF-8E75-4102-A12E-D856467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</cp:revision>
  <cp:lastPrinted>2012-09-13T09:42:00Z</cp:lastPrinted>
  <dcterms:created xsi:type="dcterms:W3CDTF">2014-06-13T14:15:00Z</dcterms:created>
  <dcterms:modified xsi:type="dcterms:W3CDTF">2014-07-15T13:27:00Z</dcterms:modified>
</cp:coreProperties>
</file>